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18A52" w14:textId="77777777" w:rsidR="00B3581F" w:rsidRDefault="00B3581F" w:rsidP="00B3581F">
      <w:pPr>
        <w:jc w:val="center"/>
      </w:pPr>
      <w:r>
        <w:rPr>
          <w:noProof/>
        </w:rPr>
        <w:drawing>
          <wp:inline distT="0" distB="0" distL="0" distR="0" wp14:anchorId="7C214F8C" wp14:editId="24F5B781">
            <wp:extent cx="2171640" cy="1676400"/>
            <wp:effectExtent l="0" t="0" r="635" b="0"/>
            <wp:docPr id="1" name="Obraz 1" descr="Obraz zawierający tekst,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view Winie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956" cy="168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45A2A" w14:textId="77777777" w:rsidR="00B3581F" w:rsidRPr="00AD5B37" w:rsidRDefault="00B3581F" w:rsidP="00B3581F">
      <w:pPr>
        <w:rPr>
          <w:b/>
          <w:bCs/>
          <w:lang w:val="en-GB"/>
        </w:rPr>
      </w:pPr>
    </w:p>
    <w:p w14:paraId="47239FBA" w14:textId="77777777" w:rsidR="00B3581F" w:rsidRPr="003B654E" w:rsidRDefault="00B3581F" w:rsidP="00B3581F">
      <w:pPr>
        <w:rPr>
          <w:b/>
          <w:bCs/>
          <w:lang w:val="en-GB"/>
        </w:rPr>
      </w:pPr>
      <w:r w:rsidRPr="003B654E">
        <w:rPr>
          <w:b/>
          <w:bCs/>
          <w:i/>
          <w:iCs/>
          <w:lang w:val="en-GB"/>
        </w:rPr>
        <w:t>Institute of National Remembrance Review</w:t>
      </w:r>
    </w:p>
    <w:p w14:paraId="3CB36B54" w14:textId="77777777" w:rsidR="00B3581F" w:rsidRDefault="00B3581F" w:rsidP="00B3581F">
      <w:pPr>
        <w:rPr>
          <w:lang w:val="en-GB"/>
        </w:rPr>
      </w:pPr>
      <w:r w:rsidRPr="00A0211E">
        <w:rPr>
          <w:lang w:val="en-GB"/>
        </w:rPr>
        <w:t xml:space="preserve">Institute of National Remembrance </w:t>
      </w:r>
    </w:p>
    <w:p w14:paraId="4A29374D" w14:textId="77777777" w:rsidR="00B3581F" w:rsidRDefault="00B3581F" w:rsidP="00B3581F">
      <w:pPr>
        <w:rPr>
          <w:lang w:val="en-GB"/>
        </w:rPr>
      </w:pPr>
      <w:r w:rsidRPr="00A0211E">
        <w:rPr>
          <w:lang w:val="en-GB"/>
        </w:rPr>
        <w:t>– Commission for the Prosecution of</w:t>
      </w:r>
      <w:r>
        <w:rPr>
          <w:lang w:val="en-GB"/>
        </w:rPr>
        <w:t xml:space="preserve"> the Crimes against the Polish Nation</w:t>
      </w:r>
    </w:p>
    <w:p w14:paraId="2A3B713F" w14:textId="77777777" w:rsidR="00B3581F" w:rsidRDefault="00B3581F" w:rsidP="00B3581F">
      <w:r w:rsidRPr="00AD5B37">
        <w:t xml:space="preserve">Wołoska 7, 02-675 </w:t>
      </w:r>
      <w:r>
        <w:t>Warsaw, Poland</w:t>
      </w:r>
    </w:p>
    <w:p w14:paraId="4574436C" w14:textId="77777777" w:rsidR="00B3581F" w:rsidRPr="003B654E" w:rsidRDefault="00B3581F" w:rsidP="00B3581F">
      <w:r w:rsidRPr="003B654E">
        <w:t xml:space="preserve">email: </w:t>
      </w:r>
      <w:hyperlink r:id="rId6" w:history="1">
        <w:r w:rsidRPr="003B654E">
          <w:rPr>
            <w:rStyle w:val="Hipercze"/>
          </w:rPr>
          <w:t>inrr@ipn.gov.pl</w:t>
        </w:r>
      </w:hyperlink>
      <w:r w:rsidRPr="003B654E">
        <w:t xml:space="preserve"> </w:t>
      </w:r>
    </w:p>
    <w:p w14:paraId="184B4F4B" w14:textId="77777777" w:rsidR="00B3581F" w:rsidRPr="003B654E" w:rsidRDefault="00B3581F" w:rsidP="00B3581F"/>
    <w:p w14:paraId="1C2DA78C" w14:textId="40879D4C" w:rsidR="00B3581F" w:rsidRDefault="00B3581F" w:rsidP="00B3581F">
      <w:pPr>
        <w:jc w:val="center"/>
        <w:rPr>
          <w:b/>
          <w:bCs/>
          <w:lang w:val="en-GB"/>
        </w:rPr>
      </w:pPr>
      <w:r w:rsidRPr="00A0211E">
        <w:rPr>
          <w:b/>
          <w:bCs/>
          <w:lang w:val="en-GB"/>
        </w:rPr>
        <w:t>Call for papers: „</w:t>
      </w:r>
      <w:r w:rsidRPr="00B3581F">
        <w:rPr>
          <w:b/>
          <w:bCs/>
        </w:rPr>
        <w:t xml:space="preserve"> </w:t>
      </w:r>
      <w:r>
        <w:rPr>
          <w:b/>
          <w:bCs/>
        </w:rPr>
        <w:t>New Central Europe. 1917-1922 &amp; 1988-1992.</w:t>
      </w:r>
      <w:r w:rsidRPr="00B3581F">
        <w:t xml:space="preserve"> </w:t>
      </w:r>
      <w:r w:rsidRPr="00B3581F">
        <w:rPr>
          <w:b/>
          <w:bCs/>
        </w:rPr>
        <w:t>The nations of Central and Eastern Europe facing the fall of empires.</w:t>
      </w:r>
      <w:r w:rsidRPr="00B3581F">
        <w:rPr>
          <w:b/>
          <w:bCs/>
          <w:lang w:val="en-GB"/>
        </w:rPr>
        <w:t>”</w:t>
      </w:r>
    </w:p>
    <w:p w14:paraId="2DAA4121" w14:textId="14224A96" w:rsidR="00D43AB2" w:rsidRPr="00A0211E" w:rsidRDefault="00D43AB2" w:rsidP="00D43AB2">
      <w:pPr>
        <w:rPr>
          <w:b/>
          <w:bCs/>
          <w:lang w:val="en-GB"/>
        </w:rPr>
      </w:pPr>
      <w:r>
        <w:rPr>
          <w:b/>
          <w:bCs/>
          <w:lang w:val="en-GB"/>
        </w:rPr>
        <w:t>CfP symbol: B/NCE</w:t>
      </w:r>
    </w:p>
    <w:p w14:paraId="4CB0860A" w14:textId="3A4778DC" w:rsidR="00B3581F" w:rsidRDefault="00B3581F" w:rsidP="00B3581F">
      <w:pPr>
        <w:jc w:val="both"/>
      </w:pPr>
      <w:r w:rsidRPr="00A0211E">
        <w:rPr>
          <w:lang w:val="en-GB"/>
        </w:rPr>
        <w:t xml:space="preserve">The Editorial Board of the </w:t>
      </w:r>
      <w:r w:rsidRPr="00A0211E">
        <w:rPr>
          <w:i/>
          <w:iCs/>
          <w:lang w:val="en-GB"/>
        </w:rPr>
        <w:t xml:space="preserve">Institute of National Remembrance Review </w:t>
      </w:r>
      <w:r>
        <w:rPr>
          <w:lang w:val="en-GB"/>
        </w:rPr>
        <w:t xml:space="preserve">calls for submissions of the papers concerning the emergence and re-emergence of the independent states in Central and Eastern Europe in the two parallel turning points of history. </w:t>
      </w:r>
      <w:r>
        <w:t xml:space="preserve">The authors are encouraged to submit papers concerning two periods of Central and Eastern European history in the 20th century: </w:t>
      </w:r>
    </w:p>
    <w:p w14:paraId="2B1316AF" w14:textId="3EE60BD4" w:rsidR="00B3581F" w:rsidRPr="00B3581F" w:rsidRDefault="00B3581F" w:rsidP="00B3581F">
      <w:pPr>
        <w:jc w:val="both"/>
        <w:rPr>
          <w:b/>
          <w:bCs/>
        </w:rPr>
      </w:pPr>
      <w:r w:rsidRPr="00B3581F">
        <w:rPr>
          <w:b/>
          <w:bCs/>
        </w:rPr>
        <w:t xml:space="preserve">1. The emergence of independent Central and Eastern European countries as a consequence of the fall of the Austrian-Hungarian Empire, the Revolution in Russia and the German defeat in the First World War; </w:t>
      </w:r>
    </w:p>
    <w:p w14:paraId="165A0461" w14:textId="042233F0" w:rsidR="00B3581F" w:rsidRPr="00B3581F" w:rsidRDefault="00B3581F" w:rsidP="00B3581F">
      <w:pPr>
        <w:jc w:val="both"/>
        <w:rPr>
          <w:b/>
          <w:bCs/>
        </w:rPr>
      </w:pPr>
      <w:r w:rsidRPr="00B3581F">
        <w:rPr>
          <w:b/>
          <w:bCs/>
        </w:rPr>
        <w:t xml:space="preserve">2. The political transition in Central and Eastern Europe after the fall of Soviet dominance, disintegration of the Soviet Union, Yugoslavia and Czechoslovakia. </w:t>
      </w:r>
    </w:p>
    <w:p w14:paraId="1666B7AF" w14:textId="77777777" w:rsidR="00B3581F" w:rsidRDefault="00B3581F" w:rsidP="00B3581F">
      <w:pPr>
        <w:jc w:val="both"/>
      </w:pPr>
      <w:r>
        <w:t xml:space="preserve">The themes of the papers should touch upon i.a.: </w:t>
      </w:r>
    </w:p>
    <w:p w14:paraId="2E65F8DA" w14:textId="77777777" w:rsidR="00B3581F" w:rsidRDefault="00B3581F" w:rsidP="00B3581F">
      <w:pPr>
        <w:pStyle w:val="Akapitzlist"/>
        <w:numPr>
          <w:ilvl w:val="0"/>
          <w:numId w:val="1"/>
        </w:numPr>
        <w:jc w:val="both"/>
      </w:pPr>
      <w:r>
        <w:t xml:space="preserve">The matters of political processes resulting in restitution/establishment of independent Finnish, Estonian, Latvian, Lithuanian, Polish, Czechoslovak, Yugoslavian states in 1918; </w:t>
      </w:r>
    </w:p>
    <w:p w14:paraId="0B6BDFCD" w14:textId="77777777" w:rsidR="00B3581F" w:rsidRDefault="00B3581F" w:rsidP="00B3581F">
      <w:pPr>
        <w:pStyle w:val="Akapitzlist"/>
        <w:numPr>
          <w:ilvl w:val="0"/>
          <w:numId w:val="1"/>
        </w:numPr>
        <w:jc w:val="both"/>
      </w:pPr>
      <w:r>
        <w:t>The Ukrainian Revolution; the Bolshevik Revolution; the Hungarian Revolution;</w:t>
      </w:r>
    </w:p>
    <w:p w14:paraId="49125D74" w14:textId="7D04BF17" w:rsidR="00B3581F" w:rsidRDefault="00B3581F" w:rsidP="00B3581F">
      <w:pPr>
        <w:pStyle w:val="Akapitzlist"/>
        <w:numPr>
          <w:ilvl w:val="0"/>
          <w:numId w:val="1"/>
        </w:numPr>
        <w:jc w:val="both"/>
      </w:pPr>
      <w:r>
        <w:t xml:space="preserve">The failed Belarusian Republic; </w:t>
      </w:r>
    </w:p>
    <w:p w14:paraId="3A23D9E8" w14:textId="77777777" w:rsidR="00B3581F" w:rsidRDefault="00B3581F" w:rsidP="00B3581F">
      <w:pPr>
        <w:pStyle w:val="Akapitzlist"/>
        <w:jc w:val="both"/>
      </w:pPr>
    </w:p>
    <w:p w14:paraId="3A053ECF" w14:textId="77777777" w:rsidR="00B3581F" w:rsidRDefault="00B3581F" w:rsidP="00B3581F">
      <w:pPr>
        <w:pStyle w:val="Akapitzlist"/>
        <w:numPr>
          <w:ilvl w:val="0"/>
          <w:numId w:val="1"/>
        </w:numPr>
        <w:jc w:val="both"/>
      </w:pPr>
      <w:r>
        <w:t xml:space="preserve">The economic, political and military contexts of the fall of Soviet dominance in Central and Eastern Europe; </w:t>
      </w:r>
    </w:p>
    <w:p w14:paraId="7647706D" w14:textId="77777777" w:rsidR="00B3581F" w:rsidRDefault="00B3581F" w:rsidP="00B3581F">
      <w:pPr>
        <w:pStyle w:val="Akapitzlist"/>
      </w:pPr>
    </w:p>
    <w:p w14:paraId="0862E144" w14:textId="77777777" w:rsidR="00B3581F" w:rsidRDefault="00B3581F" w:rsidP="00B3581F">
      <w:pPr>
        <w:pStyle w:val="Akapitzlist"/>
        <w:numPr>
          <w:ilvl w:val="0"/>
          <w:numId w:val="1"/>
        </w:numPr>
        <w:jc w:val="both"/>
      </w:pPr>
      <w:r>
        <w:t xml:space="preserve">The political transition in the countries of the former Soviet bloc; </w:t>
      </w:r>
    </w:p>
    <w:p w14:paraId="54689018" w14:textId="77777777" w:rsidR="00B3581F" w:rsidRDefault="00B3581F" w:rsidP="00B3581F">
      <w:pPr>
        <w:pStyle w:val="Akapitzlist"/>
      </w:pPr>
    </w:p>
    <w:p w14:paraId="2789C90F" w14:textId="0E60C397" w:rsidR="004D0FB5" w:rsidRDefault="00B3581F" w:rsidP="00B3581F">
      <w:pPr>
        <w:pStyle w:val="Akapitzlist"/>
        <w:numPr>
          <w:ilvl w:val="0"/>
          <w:numId w:val="1"/>
        </w:numPr>
        <w:jc w:val="both"/>
      </w:pPr>
      <w:r>
        <w:lastRenderedPageBreak/>
        <w:t>The processes and patterns of the disintegration of the Soviet Union;  the restitution of the independent Baltic countries.</w:t>
      </w:r>
    </w:p>
    <w:sectPr w:rsidR="004D0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85146"/>
    <w:multiLevelType w:val="hybridMultilevel"/>
    <w:tmpl w:val="D752F0BC"/>
    <w:lvl w:ilvl="0" w:tplc="511C2FB6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1F"/>
    <w:rsid w:val="004D0FB5"/>
    <w:rsid w:val="00B3581F"/>
    <w:rsid w:val="00C20C79"/>
    <w:rsid w:val="00D4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D5BD"/>
  <w15:chartTrackingRefBased/>
  <w15:docId w15:val="{E220F73E-98D4-4A79-BBB9-FF56CEF3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8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5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1F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B3581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35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rr@ipn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Dąbrowski</dc:creator>
  <cp:keywords/>
  <dc:description/>
  <cp:lastModifiedBy>Franciszek Dąbrowski</cp:lastModifiedBy>
  <cp:revision>3</cp:revision>
  <dcterms:created xsi:type="dcterms:W3CDTF">2020-04-21T13:34:00Z</dcterms:created>
  <dcterms:modified xsi:type="dcterms:W3CDTF">2020-04-21T13:36:00Z</dcterms:modified>
</cp:coreProperties>
</file>